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3C" w:rsidRDefault="00ED249A" w:rsidP="0064363C">
      <w:pPr>
        <w:rPr>
          <w:b/>
          <w:sz w:val="28"/>
          <w:szCs w:val="28"/>
        </w:rPr>
      </w:pPr>
      <w:r>
        <w:rPr>
          <w:b/>
          <w:sz w:val="28"/>
          <w:szCs w:val="28"/>
        </w:rPr>
        <w:t>Argumentieren – aber richtig!</w:t>
      </w:r>
    </w:p>
    <w:p w:rsidR="00ED249A" w:rsidRPr="001659F3" w:rsidRDefault="00ED249A" w:rsidP="0064363C">
      <w:pPr>
        <w:rPr>
          <w:b/>
          <w:sz w:val="16"/>
          <w:szCs w:val="16"/>
        </w:rPr>
      </w:pPr>
    </w:p>
    <w:p w:rsidR="00ED249A" w:rsidRDefault="00ED249A" w:rsidP="0064363C">
      <w:pPr>
        <w:rPr>
          <w:bCs/>
        </w:rPr>
      </w:pPr>
      <w:r>
        <w:rPr>
          <w:bCs/>
        </w:rPr>
        <w:t xml:space="preserve">Ein Argument sollte immer </w:t>
      </w:r>
      <w:proofErr w:type="gramStart"/>
      <w:r>
        <w:rPr>
          <w:bCs/>
        </w:rPr>
        <w:t>nach folgendem</w:t>
      </w:r>
      <w:proofErr w:type="gramEnd"/>
      <w:r>
        <w:rPr>
          <w:bCs/>
        </w:rPr>
        <w:t xml:space="preserve"> Schema aufgebaut sein:</w:t>
      </w:r>
    </w:p>
    <w:p w:rsidR="00ED249A" w:rsidRDefault="00ED249A" w:rsidP="0064363C">
      <w:pPr>
        <w:rPr>
          <w:bCs/>
        </w:rPr>
      </w:pPr>
    </w:p>
    <w:p w:rsidR="00ED249A" w:rsidRPr="00ED249A" w:rsidRDefault="00ED249A" w:rsidP="00ED249A">
      <w:pPr>
        <w:pStyle w:val="Listenabsatz"/>
        <w:numPr>
          <w:ilvl w:val="0"/>
          <w:numId w:val="2"/>
        </w:numPr>
        <w:rPr>
          <w:b/>
        </w:rPr>
      </w:pPr>
      <w:r w:rsidRPr="00ED249A">
        <w:rPr>
          <w:b/>
        </w:rPr>
        <w:t>These</w:t>
      </w:r>
    </w:p>
    <w:p w:rsidR="00ED249A" w:rsidRDefault="00ED249A" w:rsidP="00ED249A">
      <w:pPr>
        <w:pStyle w:val="Listenabsatz"/>
        <w:rPr>
          <w:bCs/>
        </w:rPr>
      </w:pPr>
      <w:r>
        <w:rPr>
          <w:bCs/>
        </w:rPr>
        <w:t xml:space="preserve">(oder </w:t>
      </w:r>
      <w:r w:rsidRPr="00ED249A">
        <w:rPr>
          <w:b/>
        </w:rPr>
        <w:t>Behauptung</w:t>
      </w:r>
      <w:r>
        <w:rPr>
          <w:bCs/>
        </w:rPr>
        <w:t>)</w:t>
      </w:r>
    </w:p>
    <w:p w:rsidR="00ED249A" w:rsidRDefault="00ED249A" w:rsidP="00ED249A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Möglichst nur ein Satz</w:t>
      </w:r>
    </w:p>
    <w:p w:rsidR="00ED249A" w:rsidRDefault="00ED249A" w:rsidP="00ED249A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Formuliert eine Position zum Thema (Pro oder Kontra)</w:t>
      </w:r>
    </w:p>
    <w:p w:rsidR="00ED249A" w:rsidRPr="001659F3" w:rsidRDefault="00ED249A" w:rsidP="00ED249A">
      <w:pPr>
        <w:pStyle w:val="Listenabsatz"/>
        <w:ind w:left="1080"/>
        <w:rPr>
          <w:bCs/>
          <w:sz w:val="16"/>
          <w:szCs w:val="16"/>
        </w:rPr>
      </w:pPr>
    </w:p>
    <w:p w:rsidR="00ED249A" w:rsidRPr="00ED249A" w:rsidRDefault="00ED249A" w:rsidP="00ED249A">
      <w:pPr>
        <w:pStyle w:val="Listenabsatz"/>
        <w:numPr>
          <w:ilvl w:val="0"/>
          <w:numId w:val="2"/>
        </w:numPr>
        <w:rPr>
          <w:b/>
        </w:rPr>
      </w:pPr>
      <w:r w:rsidRPr="00ED249A">
        <w:rPr>
          <w:b/>
        </w:rPr>
        <w:t>Argument</w:t>
      </w:r>
    </w:p>
    <w:p w:rsidR="00ED249A" w:rsidRDefault="00ED249A" w:rsidP="00ED249A">
      <w:pPr>
        <w:pStyle w:val="Listenabsatz"/>
        <w:rPr>
          <w:bCs/>
        </w:rPr>
      </w:pPr>
      <w:r>
        <w:rPr>
          <w:bCs/>
        </w:rPr>
        <w:t xml:space="preserve">(oder </w:t>
      </w:r>
      <w:r w:rsidRPr="00ED249A">
        <w:rPr>
          <w:b/>
        </w:rPr>
        <w:t>Begründung</w:t>
      </w:r>
      <w:r>
        <w:rPr>
          <w:bCs/>
        </w:rPr>
        <w:t>)</w:t>
      </w:r>
    </w:p>
    <w:p w:rsidR="00ED249A" w:rsidRDefault="00ED249A" w:rsidP="00ED249A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Begründet die Behauptung aus 1.)</w:t>
      </w:r>
    </w:p>
    <w:p w:rsidR="00ED249A" w:rsidRDefault="00ED249A" w:rsidP="00ED249A">
      <w:pPr>
        <w:pStyle w:val="Listenabsatz"/>
        <w:ind w:left="1080"/>
        <w:rPr>
          <w:bCs/>
        </w:rPr>
      </w:pPr>
      <w:r>
        <w:rPr>
          <w:bCs/>
        </w:rPr>
        <w:t>Weil… Da…</w:t>
      </w:r>
    </w:p>
    <w:p w:rsidR="00ED249A" w:rsidRPr="001659F3" w:rsidRDefault="00ED249A" w:rsidP="00ED249A">
      <w:pPr>
        <w:pStyle w:val="Listenabsatz"/>
        <w:ind w:left="1080"/>
        <w:rPr>
          <w:bCs/>
          <w:sz w:val="16"/>
          <w:szCs w:val="16"/>
        </w:rPr>
      </w:pPr>
    </w:p>
    <w:p w:rsidR="00ED249A" w:rsidRPr="007C2B09" w:rsidRDefault="00ED249A" w:rsidP="007C2B09">
      <w:pPr>
        <w:pStyle w:val="Listenabsatz"/>
        <w:numPr>
          <w:ilvl w:val="0"/>
          <w:numId w:val="2"/>
        </w:numPr>
        <w:rPr>
          <w:b/>
        </w:rPr>
      </w:pPr>
      <w:r w:rsidRPr="00ED249A">
        <w:rPr>
          <w:b/>
        </w:rPr>
        <w:t>Beispiel</w:t>
      </w:r>
      <w:r w:rsidR="007C2B09">
        <w:rPr>
          <w:b/>
        </w:rPr>
        <w:t>, Beleg oder Erläuterung</w:t>
      </w:r>
    </w:p>
    <w:p w:rsidR="00ED249A" w:rsidRDefault="00ED249A" w:rsidP="00ED249A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Dient der Veranschaulichung</w:t>
      </w:r>
      <w:r w:rsidR="007C2B09">
        <w:rPr>
          <w:bCs/>
        </w:rPr>
        <w:t>/ Konkretisierung</w:t>
      </w:r>
    </w:p>
    <w:p w:rsidR="007C2B09" w:rsidRDefault="007C2B09" w:rsidP="00ED249A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Beleg: z.B. ein Zitat aus einem Text</w:t>
      </w:r>
    </w:p>
    <w:p w:rsidR="007C2B09" w:rsidRDefault="007C2B09" w:rsidP="00ED249A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Erläuterung: z.B. ein verdeutlichender Zusatz.</w:t>
      </w:r>
    </w:p>
    <w:p w:rsidR="00ED249A" w:rsidRDefault="00ED249A" w:rsidP="00ED249A">
      <w:pPr>
        <w:rPr>
          <w:bCs/>
        </w:rPr>
      </w:pPr>
    </w:p>
    <w:p w:rsidR="00ED249A" w:rsidRDefault="00ED249A" w:rsidP="00ED249A">
      <w:pPr>
        <w:rPr>
          <w:bCs/>
        </w:rPr>
      </w:pPr>
      <w:r>
        <w:rPr>
          <w:bCs/>
        </w:rPr>
        <w:t>Dieser Aufbau wird auch unter TAB (These-Argument-Beispiel) oder BBB (Behauptung-Begründung-Beispiel) zusammengefasst.</w:t>
      </w:r>
    </w:p>
    <w:p w:rsidR="00ED249A" w:rsidRDefault="00ED249A" w:rsidP="00ED249A">
      <w:pPr>
        <w:rPr>
          <w:bCs/>
        </w:rPr>
      </w:pPr>
    </w:p>
    <w:p w:rsidR="004A4557" w:rsidRDefault="004A4557" w:rsidP="00ED249A">
      <w:pPr>
        <w:rPr>
          <w:b/>
        </w:rPr>
      </w:pPr>
    </w:p>
    <w:p w:rsidR="004A4557" w:rsidRDefault="004A4557" w:rsidP="00ED249A">
      <w:pPr>
        <w:rPr>
          <w:b/>
        </w:rPr>
      </w:pPr>
    </w:p>
    <w:p w:rsidR="00ED249A" w:rsidRPr="00FA33DE" w:rsidRDefault="00ED249A" w:rsidP="00ED249A">
      <w:pPr>
        <w:rPr>
          <w:b/>
        </w:rPr>
      </w:pPr>
      <w:bookmarkStart w:id="0" w:name="_GoBack"/>
      <w:bookmarkEnd w:id="0"/>
      <w:r w:rsidRPr="00FA33DE">
        <w:rPr>
          <w:b/>
        </w:rPr>
        <w:t>Beispiel zum Nachvollziehen:</w:t>
      </w:r>
    </w:p>
    <w:p w:rsidR="001659F3" w:rsidRDefault="001659F3" w:rsidP="00ED249A">
      <w:pPr>
        <w:rPr>
          <w:bCs/>
        </w:rPr>
      </w:pPr>
    </w:p>
    <w:p w:rsidR="00ED249A" w:rsidRDefault="00ED249A" w:rsidP="00ED249A">
      <w:pPr>
        <w:rPr>
          <w:bCs/>
        </w:rPr>
      </w:pPr>
      <w:r w:rsidRPr="001659F3">
        <w:rPr>
          <w:bCs/>
          <w:i/>
          <w:iCs/>
        </w:rPr>
        <w:t>Fragestellung:</w:t>
      </w:r>
      <w:r>
        <w:rPr>
          <w:bCs/>
        </w:rPr>
        <w:t xml:space="preserve"> Sollten Jugendliche im Sportunterricht nach Mädchen und Jungen getrennt unterrichtet werden?</w:t>
      </w:r>
    </w:p>
    <w:p w:rsidR="00ED249A" w:rsidRDefault="00ED249A" w:rsidP="00ED249A">
      <w:pPr>
        <w:rPr>
          <w:bCs/>
        </w:rPr>
      </w:pPr>
    </w:p>
    <w:p w:rsidR="00ED249A" w:rsidRPr="001659F3" w:rsidRDefault="00ED249A" w:rsidP="00ED249A">
      <w:pPr>
        <w:rPr>
          <w:bCs/>
          <w:i/>
          <w:iCs/>
        </w:rPr>
      </w:pPr>
      <w:r w:rsidRPr="001659F3">
        <w:rPr>
          <w:bCs/>
          <w:i/>
          <w:iCs/>
        </w:rPr>
        <w:t>Argumentation:</w:t>
      </w:r>
    </w:p>
    <w:p w:rsidR="00FA33DE" w:rsidRDefault="00FA33DE" w:rsidP="00ED249A">
      <w:pPr>
        <w:rPr>
          <w:bCs/>
        </w:rPr>
      </w:pPr>
      <w:r w:rsidRPr="001659F3">
        <w:rPr>
          <w:b/>
        </w:rPr>
        <w:t>T:</w:t>
      </w:r>
      <w:r>
        <w:rPr>
          <w:bCs/>
        </w:rPr>
        <w:t xml:space="preserve"> </w:t>
      </w:r>
      <w:r w:rsidR="00ED249A">
        <w:rPr>
          <w:bCs/>
        </w:rPr>
        <w:t xml:space="preserve">Elternverbände sprechen sich gegen den geschlechtergetrennten Sportunterricht aus, </w:t>
      </w:r>
    </w:p>
    <w:p w:rsidR="00FA33DE" w:rsidRDefault="00FA33DE" w:rsidP="00ED249A">
      <w:pPr>
        <w:rPr>
          <w:bCs/>
        </w:rPr>
      </w:pPr>
      <w:r w:rsidRPr="001659F3">
        <w:rPr>
          <w:b/>
        </w:rPr>
        <w:t>A:</w:t>
      </w:r>
      <w:r>
        <w:rPr>
          <w:bCs/>
        </w:rPr>
        <w:t xml:space="preserve"> </w:t>
      </w:r>
      <w:r w:rsidR="00ED249A">
        <w:rPr>
          <w:bCs/>
        </w:rPr>
        <w:t xml:space="preserve">weil gerade da das soziale Miteinander von Jungen und Mädchen besonders trainiert wird. </w:t>
      </w:r>
    </w:p>
    <w:p w:rsidR="001659F3" w:rsidRDefault="001659F3" w:rsidP="00ED249A">
      <w:pPr>
        <w:rPr>
          <w:b/>
        </w:rPr>
      </w:pPr>
    </w:p>
    <w:p w:rsidR="00ED249A" w:rsidRDefault="00FA33DE" w:rsidP="00ED249A">
      <w:pPr>
        <w:rPr>
          <w:bCs/>
        </w:rPr>
      </w:pPr>
      <w:r w:rsidRPr="001659F3">
        <w:rPr>
          <w:b/>
        </w:rPr>
        <w:t>B:</w:t>
      </w:r>
      <w:r>
        <w:rPr>
          <w:bCs/>
        </w:rPr>
        <w:t xml:space="preserve"> </w:t>
      </w:r>
      <w:r w:rsidR="00ED249A">
        <w:rPr>
          <w:bCs/>
        </w:rPr>
        <w:t xml:space="preserve">So müssen Kinder bei Teamsportarten wie Fußball </w:t>
      </w:r>
      <w:r>
        <w:rPr>
          <w:bCs/>
        </w:rPr>
        <w:t>lernen auf die Besonderheiten der Mitspieler und Mitspielerinnen Rücksicht zu nehmen.</w:t>
      </w:r>
    </w:p>
    <w:p w:rsidR="001659F3" w:rsidRDefault="001659F3" w:rsidP="00ED249A">
      <w:pPr>
        <w:rPr>
          <w:b/>
        </w:rPr>
      </w:pPr>
    </w:p>
    <w:p w:rsidR="007C2B09" w:rsidRDefault="001659F3" w:rsidP="00ED249A">
      <w:pPr>
        <w:rPr>
          <w:bCs/>
        </w:rPr>
      </w:pPr>
      <w:r w:rsidRPr="001659F3">
        <w:rPr>
          <w:b/>
        </w:rPr>
        <w:t xml:space="preserve">oder </w:t>
      </w:r>
      <w:r w:rsidR="007C2B09" w:rsidRPr="001659F3">
        <w:rPr>
          <w:b/>
        </w:rPr>
        <w:t>B (Beleg):</w:t>
      </w:r>
      <w:r w:rsidR="007C2B09">
        <w:rPr>
          <w:bCs/>
        </w:rPr>
        <w:t xml:space="preserve"> Im Schulgesetz steht explizit, dass das Erlernen sozialer Kompetenzen elementarer Bestandteil des Schulalltags sein soll.</w:t>
      </w:r>
    </w:p>
    <w:p w:rsidR="001659F3" w:rsidRDefault="001659F3" w:rsidP="00ED249A">
      <w:pPr>
        <w:rPr>
          <w:b/>
        </w:rPr>
      </w:pPr>
    </w:p>
    <w:p w:rsidR="007C2B09" w:rsidRDefault="001659F3" w:rsidP="00ED249A">
      <w:pPr>
        <w:rPr>
          <w:bCs/>
        </w:rPr>
      </w:pPr>
      <w:r w:rsidRPr="001659F3">
        <w:rPr>
          <w:b/>
        </w:rPr>
        <w:t xml:space="preserve">oder </w:t>
      </w:r>
      <w:r w:rsidR="007C2B09" w:rsidRPr="001659F3">
        <w:rPr>
          <w:b/>
        </w:rPr>
        <w:t>B (Erläuterung):</w:t>
      </w:r>
      <w:r w:rsidR="007C2B09">
        <w:rPr>
          <w:bCs/>
        </w:rPr>
        <w:t xml:space="preserve"> Sozialkompetenz als Fähigkeit mit anderen Menschen angemessen umzugehen ist ein elementarer Bestandteil einer funktionierenden Gemei</w:t>
      </w:r>
      <w:r>
        <w:rPr>
          <w:bCs/>
        </w:rPr>
        <w:t>n</w:t>
      </w:r>
      <w:r w:rsidR="007C2B09">
        <w:rPr>
          <w:bCs/>
        </w:rPr>
        <w:t>schaft.</w:t>
      </w:r>
    </w:p>
    <w:p w:rsidR="001659F3" w:rsidRDefault="001659F3">
      <w:pPr>
        <w:rPr>
          <w:bCs/>
        </w:rPr>
      </w:pPr>
      <w:r>
        <w:rPr>
          <w:bCs/>
        </w:rPr>
        <w:br w:type="page"/>
      </w:r>
    </w:p>
    <w:p w:rsidR="00FA33DE" w:rsidRDefault="00FA33DE" w:rsidP="00ED249A">
      <w:pPr>
        <w:rPr>
          <w:bCs/>
        </w:rPr>
      </w:pPr>
    </w:p>
    <w:p w:rsidR="00FA33DE" w:rsidRPr="007C2B09" w:rsidRDefault="00FA33DE" w:rsidP="00ED249A">
      <w:pPr>
        <w:rPr>
          <w:b/>
        </w:rPr>
      </w:pPr>
      <w:r w:rsidRPr="007C2B09">
        <w:rPr>
          <w:b/>
        </w:rPr>
        <w:t>Argumenttypen Kurzübersicht:</w:t>
      </w:r>
    </w:p>
    <w:p w:rsidR="00FA33DE" w:rsidRDefault="00FA33DE" w:rsidP="00ED249A">
      <w:pPr>
        <w:rPr>
          <w:bCs/>
        </w:rPr>
      </w:pPr>
    </w:p>
    <w:p w:rsidR="00FA33DE" w:rsidRDefault="00FA33DE" w:rsidP="00FA33DE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 xml:space="preserve">Faktenargument/ Tatsachenaussage: </w:t>
      </w:r>
    </w:p>
    <w:p w:rsidR="001659F3" w:rsidRDefault="00FA33DE" w:rsidP="00FA33DE">
      <w:pPr>
        <w:pStyle w:val="Listenabsatz"/>
        <w:ind w:left="1080"/>
        <w:rPr>
          <w:bCs/>
        </w:rPr>
      </w:pPr>
      <w:r>
        <w:rPr>
          <w:bCs/>
        </w:rPr>
        <w:t xml:space="preserve">Nachprüfbar und überzeugend. </w:t>
      </w:r>
    </w:p>
    <w:p w:rsidR="001659F3" w:rsidRDefault="004A4557" w:rsidP="00FA33DE">
      <w:pPr>
        <w:pStyle w:val="Listenabsatz"/>
        <w:ind w:left="1080"/>
        <w:rPr>
          <w:bCs/>
        </w:rPr>
      </w:pPr>
      <w:r w:rsidRPr="004A4557">
        <w:rPr>
          <w:bCs/>
        </w:rPr>
        <w:sym w:font="Wingdings" w:char="F0DF"/>
      </w:r>
      <w:r w:rsidRPr="004A4557">
        <w:rPr>
          <w:bCs/>
        </w:rPr>
        <w:sym w:font="Wingdings" w:char="F0E0"/>
      </w:r>
      <w:r w:rsidR="00FA33DE">
        <w:rPr>
          <w:bCs/>
        </w:rPr>
        <w:t>In Einzelfällen aber evtl. wiederlegbar.</w:t>
      </w:r>
    </w:p>
    <w:p w:rsidR="001659F3" w:rsidRDefault="001659F3" w:rsidP="00FA33DE">
      <w:pPr>
        <w:pStyle w:val="Listenabsatz"/>
        <w:ind w:left="1080"/>
        <w:rPr>
          <w:bCs/>
        </w:rPr>
      </w:pPr>
    </w:p>
    <w:p w:rsidR="00FA33DE" w:rsidRDefault="00FA33DE" w:rsidP="00FA33DE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Autoritätsargument:</w:t>
      </w:r>
    </w:p>
    <w:p w:rsidR="001659F3" w:rsidRDefault="00FA33DE" w:rsidP="00FA33DE">
      <w:pPr>
        <w:pStyle w:val="Listenabsatz"/>
        <w:ind w:left="1080"/>
        <w:rPr>
          <w:bCs/>
        </w:rPr>
      </w:pPr>
      <w:r>
        <w:rPr>
          <w:bCs/>
        </w:rPr>
        <w:t xml:space="preserve">Anerkannte Persönlichkeit bezieht Position. </w:t>
      </w:r>
    </w:p>
    <w:p w:rsidR="00FA33DE" w:rsidRDefault="004A4557" w:rsidP="00FA33DE">
      <w:pPr>
        <w:pStyle w:val="Listenabsatz"/>
        <w:ind w:left="1080"/>
        <w:rPr>
          <w:bCs/>
        </w:rPr>
      </w:pPr>
      <w:r w:rsidRPr="004A4557">
        <w:rPr>
          <w:bCs/>
        </w:rPr>
        <w:sym w:font="Wingdings" w:char="F0DF"/>
      </w:r>
      <w:r w:rsidRPr="004A4557">
        <w:rPr>
          <w:bCs/>
        </w:rPr>
        <w:sym w:font="Wingdings" w:char="F0E0"/>
      </w:r>
      <w:r w:rsidR="00FA33DE">
        <w:rPr>
          <w:bCs/>
        </w:rPr>
        <w:t xml:space="preserve">Allerdings gibt es wahrscheinlich </w:t>
      </w:r>
      <w:r>
        <w:rPr>
          <w:bCs/>
        </w:rPr>
        <w:t xml:space="preserve">andere </w:t>
      </w:r>
      <w:r w:rsidR="00FA33DE">
        <w:rPr>
          <w:bCs/>
        </w:rPr>
        <w:t>Personen, die dagegen Position beziehen.</w:t>
      </w:r>
    </w:p>
    <w:p w:rsidR="001659F3" w:rsidRDefault="001659F3" w:rsidP="00FA33DE">
      <w:pPr>
        <w:pStyle w:val="Listenabsatz"/>
        <w:ind w:left="1080"/>
        <w:rPr>
          <w:bCs/>
        </w:rPr>
      </w:pPr>
    </w:p>
    <w:p w:rsidR="00FA33DE" w:rsidRDefault="00FA33DE" w:rsidP="00FA33DE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Normatives Argument:</w:t>
      </w:r>
    </w:p>
    <w:p w:rsidR="001659F3" w:rsidRDefault="00FA33DE" w:rsidP="00FA33DE">
      <w:pPr>
        <w:pStyle w:val="Listenabsatz"/>
        <w:ind w:left="1080"/>
        <w:rPr>
          <w:bCs/>
        </w:rPr>
      </w:pPr>
      <w:r>
        <w:rPr>
          <w:bCs/>
        </w:rPr>
        <w:t xml:space="preserve">Allgemeingültige Werte werden zugrunde gelegt. </w:t>
      </w:r>
    </w:p>
    <w:p w:rsidR="00FA33DE" w:rsidRDefault="004A4557" w:rsidP="00FA33DE">
      <w:pPr>
        <w:pStyle w:val="Listenabsatz"/>
        <w:ind w:left="1080"/>
        <w:rPr>
          <w:bCs/>
        </w:rPr>
      </w:pPr>
      <w:r w:rsidRPr="004A4557">
        <w:rPr>
          <w:bCs/>
        </w:rPr>
        <w:sym w:font="Wingdings" w:char="F0DF"/>
      </w:r>
      <w:r w:rsidRPr="004A4557">
        <w:rPr>
          <w:bCs/>
        </w:rPr>
        <w:sym w:font="Wingdings" w:char="F0E0"/>
      </w:r>
      <w:r w:rsidR="00FA33DE">
        <w:rPr>
          <w:bCs/>
        </w:rPr>
        <w:t>Könnte bei Menschen, die andere Werte vertreten weniger überzeugend wirken.</w:t>
      </w:r>
    </w:p>
    <w:p w:rsidR="001659F3" w:rsidRDefault="001659F3" w:rsidP="00FA33DE">
      <w:pPr>
        <w:pStyle w:val="Listenabsatz"/>
        <w:ind w:left="1080"/>
        <w:rPr>
          <w:bCs/>
        </w:rPr>
      </w:pPr>
    </w:p>
    <w:p w:rsidR="00FA33DE" w:rsidRDefault="00FA33DE" w:rsidP="00FA33DE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Analogisierendes</w:t>
      </w:r>
      <w:proofErr w:type="spellEnd"/>
      <w:r>
        <w:rPr>
          <w:bCs/>
        </w:rPr>
        <w:t xml:space="preserve"> Argument:</w:t>
      </w:r>
    </w:p>
    <w:p w:rsidR="001659F3" w:rsidRDefault="00FA33DE" w:rsidP="00FA33DE">
      <w:pPr>
        <w:pStyle w:val="Listenabsatz"/>
        <w:ind w:left="1080"/>
        <w:rPr>
          <w:bCs/>
        </w:rPr>
      </w:pPr>
      <w:r>
        <w:rPr>
          <w:bCs/>
        </w:rPr>
        <w:t xml:space="preserve">Ein vergleichbares Beispiel aus einem anderen Bereich wird angeführt, sollte möglichst glaubwürdig sein. </w:t>
      </w:r>
    </w:p>
    <w:p w:rsidR="00FA33DE" w:rsidRDefault="004A4557" w:rsidP="00FA33DE">
      <w:pPr>
        <w:pStyle w:val="Listenabsatz"/>
        <w:ind w:left="1080"/>
        <w:rPr>
          <w:bCs/>
        </w:rPr>
      </w:pPr>
      <w:r w:rsidRPr="004A4557">
        <w:rPr>
          <w:bCs/>
        </w:rPr>
        <w:sym w:font="Wingdings" w:char="F0DF"/>
      </w:r>
      <w:r w:rsidRPr="004A4557">
        <w:rPr>
          <w:bCs/>
        </w:rPr>
        <w:sym w:font="Wingdings" w:char="F0E0"/>
      </w:r>
      <w:r w:rsidR="00FA33DE">
        <w:rPr>
          <w:bCs/>
        </w:rPr>
        <w:t>Kann man wiederlegen, indem man die Vergleichbarkeit in Frage stellt.</w:t>
      </w:r>
    </w:p>
    <w:p w:rsidR="001659F3" w:rsidRDefault="001659F3" w:rsidP="00FA33DE">
      <w:pPr>
        <w:pStyle w:val="Listenabsatz"/>
        <w:ind w:left="1080"/>
        <w:rPr>
          <w:bCs/>
        </w:rPr>
      </w:pPr>
    </w:p>
    <w:p w:rsidR="00FA33DE" w:rsidRDefault="00FA33DE" w:rsidP="00FA33DE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Indirektes Argument:</w:t>
      </w:r>
    </w:p>
    <w:p w:rsidR="001659F3" w:rsidRDefault="00FA33DE" w:rsidP="00FA33DE">
      <w:pPr>
        <w:pStyle w:val="Listenabsatz"/>
        <w:ind w:left="1080"/>
        <w:rPr>
          <w:bCs/>
        </w:rPr>
      </w:pPr>
      <w:r>
        <w:rPr>
          <w:bCs/>
        </w:rPr>
        <w:t>Die Gegenposition wird als unlogisch oder nicht nachvollziehbar dargestellt.</w:t>
      </w:r>
    </w:p>
    <w:p w:rsidR="00FA33DE" w:rsidRDefault="004A4557" w:rsidP="00FA33DE">
      <w:pPr>
        <w:pStyle w:val="Listenabsatz"/>
        <w:ind w:left="1080"/>
        <w:rPr>
          <w:bCs/>
        </w:rPr>
      </w:pPr>
      <w:r w:rsidRPr="004A4557">
        <w:rPr>
          <w:bCs/>
        </w:rPr>
        <w:sym w:font="Wingdings" w:char="F0DF"/>
      </w:r>
      <w:r w:rsidRPr="004A4557">
        <w:rPr>
          <w:bCs/>
        </w:rPr>
        <w:sym w:font="Wingdings" w:char="F0E0"/>
      </w:r>
      <w:r w:rsidR="00FA33DE">
        <w:rPr>
          <w:bCs/>
        </w:rPr>
        <w:t>Das macht die eigene Position aber nicht in jedem Fall automatisch stärker.</w:t>
      </w:r>
    </w:p>
    <w:p w:rsidR="001659F3" w:rsidRDefault="001659F3" w:rsidP="00FA33DE">
      <w:pPr>
        <w:pStyle w:val="Listenabsatz"/>
        <w:ind w:left="1080"/>
        <w:rPr>
          <w:bCs/>
        </w:rPr>
      </w:pPr>
    </w:p>
    <w:p w:rsidR="00FA33DE" w:rsidRDefault="00FA33DE" w:rsidP="00FA33DE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Argumentum</w:t>
      </w:r>
      <w:proofErr w:type="spellEnd"/>
      <w:r>
        <w:rPr>
          <w:bCs/>
        </w:rPr>
        <w:t xml:space="preserve"> ad </w:t>
      </w:r>
      <w:proofErr w:type="spellStart"/>
      <w:r>
        <w:rPr>
          <w:bCs/>
        </w:rPr>
        <w:t>populum</w:t>
      </w:r>
      <w:proofErr w:type="spellEnd"/>
      <w:r>
        <w:rPr>
          <w:bCs/>
        </w:rPr>
        <w:t xml:space="preserve"> (</w:t>
      </w:r>
      <w:r w:rsidR="007C2B09">
        <w:rPr>
          <w:bCs/>
        </w:rPr>
        <w:t>an das Volk):</w:t>
      </w:r>
    </w:p>
    <w:p w:rsidR="007C2B09" w:rsidRDefault="007C2B09" w:rsidP="007C2B09">
      <w:pPr>
        <w:pStyle w:val="Listenabsatz"/>
        <w:ind w:left="1080"/>
        <w:rPr>
          <w:bCs/>
        </w:rPr>
      </w:pPr>
      <w:r>
        <w:rPr>
          <w:bCs/>
        </w:rPr>
        <w:t>Appelliert mehr an die Gefühle. Überreden mehr als dass sie überzeugen.</w:t>
      </w:r>
    </w:p>
    <w:p w:rsidR="007C2B09" w:rsidRDefault="007C2B09" w:rsidP="007C2B09">
      <w:pPr>
        <w:pStyle w:val="Listenabsatz"/>
        <w:ind w:left="1080"/>
        <w:rPr>
          <w:bCs/>
        </w:rPr>
      </w:pPr>
      <w:r>
        <w:rPr>
          <w:bCs/>
        </w:rPr>
        <w:t>(Befürchtungen und Ängste werden gestützt; Mitleid hervorgerufen)</w:t>
      </w:r>
    </w:p>
    <w:p w:rsidR="004A4557" w:rsidRDefault="004A4557" w:rsidP="001659F3">
      <w:pPr>
        <w:pStyle w:val="Listenabsatz"/>
        <w:ind w:left="1080"/>
        <w:jc w:val="right"/>
        <w:rPr>
          <w:bCs/>
          <w:sz w:val="20"/>
          <w:szCs w:val="20"/>
        </w:rPr>
      </w:pPr>
    </w:p>
    <w:p w:rsidR="001659F3" w:rsidRPr="001659F3" w:rsidRDefault="001659F3" w:rsidP="001659F3">
      <w:pPr>
        <w:pStyle w:val="Listenabsatz"/>
        <w:ind w:left="1080"/>
        <w:jc w:val="right"/>
        <w:rPr>
          <w:bCs/>
          <w:sz w:val="20"/>
          <w:szCs w:val="20"/>
        </w:rPr>
      </w:pPr>
      <w:r w:rsidRPr="001659F3">
        <w:rPr>
          <w:bCs/>
          <w:sz w:val="20"/>
          <w:szCs w:val="20"/>
        </w:rPr>
        <w:t>Näheres dazu in „Texte Themen und Strukturen“</w:t>
      </w:r>
    </w:p>
    <w:sectPr w:rsidR="001659F3" w:rsidRPr="001659F3" w:rsidSect="007C2B09">
      <w:headerReference w:type="default" r:id="rId7"/>
      <w:pgSz w:w="11906" w:h="16838" w:code="9"/>
      <w:pgMar w:top="1418" w:right="113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282" w:rsidRDefault="00641282">
      <w:r>
        <w:separator/>
      </w:r>
    </w:p>
  </w:endnote>
  <w:endnote w:type="continuationSeparator" w:id="0">
    <w:p w:rsidR="00641282" w:rsidRDefault="0064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282" w:rsidRDefault="00641282">
      <w:r>
        <w:separator/>
      </w:r>
    </w:p>
  </w:footnote>
  <w:footnote w:type="continuationSeparator" w:id="0">
    <w:p w:rsidR="00641282" w:rsidRDefault="0064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9E" w:rsidRPr="00E5479E" w:rsidRDefault="00E5479E" w:rsidP="00E5479E">
    <w:pPr>
      <w:pStyle w:val="Kopfzeile"/>
      <w:jc w:val="center"/>
      <w:rPr>
        <w:rFonts w:ascii="Aharoni" w:hAnsi="Aharoni" w:cs="Aharoni"/>
        <w:color w:val="AEAAAA"/>
      </w:rPr>
    </w:pPr>
    <w:r w:rsidRPr="00E5479E">
      <w:rPr>
        <w:rFonts w:ascii="Aharoni" w:hAnsi="Aharoni" w:cs="Aharoni" w:hint="cs"/>
        <w:noProof/>
        <w:color w:val="AEAAAA"/>
      </w:rPr>
      <w:drawing>
        <wp:anchor distT="0" distB="0" distL="114300" distR="114300" simplePos="0" relativeHeight="251659776" behindDoc="0" locked="0" layoutInCell="1" allowOverlap="1" wp14:anchorId="2B34B274" wp14:editId="1FAED31A">
          <wp:simplePos x="0" y="0"/>
          <wp:positionH relativeFrom="column">
            <wp:posOffset>5508202</wp:posOffset>
          </wp:positionH>
          <wp:positionV relativeFrom="paragraph">
            <wp:posOffset>-281305</wp:posOffset>
          </wp:positionV>
          <wp:extent cx="841375" cy="58801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ul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haroni" w:hAnsi="Aharoni" w:cs="Aharoni"/>
        <w:color w:val="AEAAAA"/>
      </w:rPr>
      <w:tab/>
      <w:t xml:space="preserve">                                                    </w:t>
    </w:r>
    <w:r w:rsidRPr="00E5479E">
      <w:rPr>
        <w:rFonts w:ascii="Aharoni" w:hAnsi="Aharoni" w:cs="Aharoni" w:hint="cs"/>
        <w:color w:val="AEAAAA"/>
      </w:rPr>
      <w:t>Merkblatt für das Fach D</w:t>
    </w:r>
    <w:r>
      <w:rPr>
        <w:rFonts w:ascii="Aharoni" w:hAnsi="Aharoni" w:cs="Aharoni"/>
        <w:color w:val="AEAAAA"/>
      </w:rPr>
      <w:t>eutsch</w:t>
    </w:r>
  </w:p>
  <w:p w:rsidR="0087395D" w:rsidRDefault="0087395D" w:rsidP="008739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06F47"/>
    <w:multiLevelType w:val="hybridMultilevel"/>
    <w:tmpl w:val="2774DF42"/>
    <w:lvl w:ilvl="0" w:tplc="DCB491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200973"/>
    <w:multiLevelType w:val="hybridMultilevel"/>
    <w:tmpl w:val="111E1964"/>
    <w:lvl w:ilvl="0" w:tplc="2BBE72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86C39"/>
    <w:multiLevelType w:val="multilevel"/>
    <w:tmpl w:val="0642967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33"/>
    <w:rsid w:val="000334D3"/>
    <w:rsid w:val="001659F3"/>
    <w:rsid w:val="001B0AAF"/>
    <w:rsid w:val="001B1D69"/>
    <w:rsid w:val="001F64C6"/>
    <w:rsid w:val="00314067"/>
    <w:rsid w:val="004A4557"/>
    <w:rsid w:val="00641282"/>
    <w:rsid w:val="0064363C"/>
    <w:rsid w:val="007719CD"/>
    <w:rsid w:val="007C2B09"/>
    <w:rsid w:val="0087395D"/>
    <w:rsid w:val="009330D2"/>
    <w:rsid w:val="00984477"/>
    <w:rsid w:val="009C0633"/>
    <w:rsid w:val="00BE41B8"/>
    <w:rsid w:val="00C53B5F"/>
    <w:rsid w:val="00CC5DAE"/>
    <w:rsid w:val="00D207E0"/>
    <w:rsid w:val="00D87CDC"/>
    <w:rsid w:val="00E5479E"/>
    <w:rsid w:val="00ED249A"/>
    <w:rsid w:val="00F0199D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142ADAD"/>
  <w15:chartTrackingRefBased/>
  <w15:docId w15:val="{03AB6C20-83FF-B646-B285-A57E9573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739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39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5479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D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Gliederung einer linearen (steigernden) Erörterung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Gliederung einer linearen (steigernden) Erörterung</dc:title>
  <dc:subject/>
  <dc:creator>tom</dc:creator>
  <cp:keywords/>
  <dc:description/>
  <cp:lastModifiedBy>Vera Kernen</cp:lastModifiedBy>
  <cp:revision>3</cp:revision>
  <dcterms:created xsi:type="dcterms:W3CDTF">2019-11-15T08:20:00Z</dcterms:created>
  <dcterms:modified xsi:type="dcterms:W3CDTF">2019-11-15T09:03:00Z</dcterms:modified>
</cp:coreProperties>
</file>